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山东第一医科大学长城路校区消防维修维护项目竞争性磋商文件</w:t>
      </w:r>
    </w:p>
    <w:p>
      <w:pPr>
        <w:spacing w:line="360" w:lineRule="auto"/>
        <w:ind w:left="0" w:leftChars="0" w:firstLine="0" w:firstLineChars="0"/>
        <w:rPr>
          <w:rFonts w:hint="eastAsia" w:ascii="仿宋" w:hAnsi="仿宋" w:eastAsia="仿宋" w:cs="仿宋"/>
        </w:rPr>
      </w:pPr>
    </w:p>
    <w:p>
      <w:pPr>
        <w:ind w:firstLine="199" w:firstLineChars="55"/>
        <w:jc w:val="center"/>
        <w:rPr>
          <w:rFonts w:hint="eastAsia" w:ascii="仿宋" w:hAnsi="仿宋" w:cs="仿宋"/>
          <w:b/>
          <w:sz w:val="36"/>
          <w:szCs w:val="36"/>
        </w:rPr>
      </w:pPr>
      <w:r>
        <w:rPr>
          <w:rFonts w:hint="eastAsia" w:ascii="仿宋" w:hAnsi="仿宋" w:eastAsia="仿宋" w:cs="仿宋"/>
          <w:b/>
          <w:sz w:val="36"/>
          <w:szCs w:val="36"/>
        </w:rPr>
        <w:t>项目编号：</w:t>
      </w:r>
      <w:r>
        <w:rPr>
          <w:rFonts w:hint="eastAsia" w:ascii="仿宋" w:hAnsi="仿宋" w:cs="仿宋"/>
          <w:b/>
          <w:sz w:val="36"/>
          <w:szCs w:val="36"/>
        </w:rPr>
        <w:t>SDGP370000000202302003789</w:t>
      </w:r>
    </w:p>
    <w:p>
      <w:pPr>
        <w:ind w:firstLine="199" w:firstLineChars="55"/>
        <w:jc w:val="center"/>
        <w:rPr>
          <w:rFonts w:ascii="仿宋" w:hAnsi="仿宋" w:cs="仿宋"/>
          <w:b/>
          <w:sz w:val="36"/>
          <w:szCs w:val="36"/>
          <w:u w:val="single"/>
        </w:rPr>
      </w:pPr>
      <w:r>
        <w:rPr>
          <w:rFonts w:hint="eastAsia" w:ascii="仿宋" w:hAnsi="仿宋" w:cs="仿宋"/>
          <w:b/>
          <w:sz w:val="36"/>
          <w:szCs w:val="36"/>
        </w:rPr>
        <w:t>/sdhryw2023071</w:t>
      </w:r>
    </w:p>
    <w:p>
      <w:pPr>
        <w:pStyle w:val="3"/>
        <w:ind w:left="0" w:leftChars="0" w:right="-42" w:firstLine="0" w:firstLineChars="0"/>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宋体" w:hAnsi="宋体" w:cs="宋体"/>
          <w:b/>
          <w:bCs/>
          <w:color w:val="auto"/>
          <w:sz w:val="36"/>
          <w:szCs w:val="36"/>
          <w:highlight w:val="none"/>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w:t>
      </w:r>
    </w:p>
    <w:p>
      <w:pPr>
        <w:ind w:left="1440" w:leftChars="600" w:firstLine="2168" w:firstLineChars="600"/>
        <w:rPr>
          <w:rFonts w:ascii="Times New Roman" w:hAnsi="Times New Roman"/>
          <w:b/>
          <w:sz w:val="36"/>
          <w:szCs w:val="36"/>
        </w:rPr>
      </w:pPr>
      <w:r>
        <w:rPr>
          <w:rFonts w:hint="eastAsia" w:ascii="宋体" w:hAnsi="宋体" w:cs="宋体"/>
          <w:b/>
          <w:bCs/>
          <w:color w:val="auto"/>
          <w:sz w:val="36"/>
          <w:szCs w:val="36"/>
          <w:highlight w:val="none"/>
        </w:rPr>
        <w:t>（山东省医学科学院）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eastAsia="zh-CN"/>
        </w:rPr>
        <w:t>六</w:t>
      </w:r>
      <w:r>
        <w:rPr>
          <w:rFonts w:hint="eastAsia" w:ascii="Times New Roman" w:hAnsi="Times New Roman"/>
          <w:b/>
          <w:sz w:val="36"/>
          <w:szCs w:val="36"/>
          <w:u w:val="single"/>
        </w:rPr>
        <w:t>月</w:t>
      </w:r>
    </w:p>
    <w:p>
      <w:pPr>
        <w:pStyle w:val="26"/>
        <w:ind w:firstLine="0" w:firstLineChars="0"/>
        <w:jc w:val="center"/>
        <w:rPr>
          <w:rFonts w:ascii="Times New Roman" w:hAnsi="Times New Roman"/>
          <w:b/>
          <w:sz w:val="32"/>
          <w:szCs w:val="28"/>
        </w:rPr>
      </w:pPr>
      <w:r>
        <w:rPr>
          <w:rFonts w:ascii="Times New Roman" w:hAnsi="Times New Roman"/>
          <w:b/>
          <w:sz w:val="32"/>
          <w:szCs w:val="28"/>
        </w:rPr>
        <w:t>目  录</w:t>
      </w:r>
    </w:p>
    <w:p>
      <w:pPr>
        <w:pStyle w:val="26"/>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4"/>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5"/>
        <w:tabs>
          <w:tab w:val="right" w:leader="dot" w:pos="9639"/>
        </w:tabs>
      </w:pPr>
    </w:p>
    <w:p>
      <w:pPr>
        <w:pStyle w:val="26"/>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6"/>
        <w:ind w:firstLine="0" w:firstLineChars="0"/>
        <w:rPr>
          <w:rFonts w:hint="eastAsia" w:ascii="Times New Roman" w:hAnsi="Times New Roman"/>
          <w:b/>
          <w:bCs/>
        </w:rPr>
      </w:pPr>
      <w:r>
        <w:rPr>
          <w:rFonts w:hint="eastAsia" w:ascii="Times New Roman" w:hAnsi="Times New Roman"/>
          <w:b/>
          <w:bCs/>
        </w:rPr>
        <w:t>第五部分  磋商邀请</w:t>
      </w:r>
    </w:p>
    <w:p>
      <w:pPr>
        <w:pStyle w:val="26"/>
        <w:ind w:firstLine="0" w:firstLineChars="0"/>
        <w:rPr>
          <w:rFonts w:hint="eastAsia" w:ascii="Times New Roman" w:hAnsi="Times New Roman"/>
          <w:b/>
          <w:bCs/>
        </w:rPr>
      </w:pPr>
      <w:r>
        <w:rPr>
          <w:rFonts w:hint="eastAsia" w:ascii="Times New Roman" w:hAnsi="Times New Roman"/>
          <w:b/>
          <w:bCs/>
        </w:rPr>
        <w:t>第六部分  供应商须知附表</w:t>
      </w:r>
    </w:p>
    <w:p>
      <w:pPr>
        <w:pStyle w:val="26"/>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6"/>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10389"/>
      <w:bookmarkStart w:id="3" w:name="_Toc631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6"/>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85137539"/>
      <w:bookmarkStart w:id="13" w:name="_Toc3961"/>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28969"/>
      <w:bookmarkStart w:id="22" w:name="_Toc11041"/>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3913"/>
      <w:bookmarkStart w:id="26" w:name="_Toc5417"/>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5018"/>
      <w:bookmarkStart w:id="28" w:name="_Toc10976"/>
      <w:r>
        <w:rPr>
          <w:rFonts w:ascii="Times New Roman" w:hAnsi="Times New Roman"/>
          <w:b/>
          <w:sz w:val="32"/>
          <w:szCs w:val="32"/>
        </w:rPr>
        <w:t>第二部分  政府采购合同</w:t>
      </w:r>
      <w:bookmarkEnd w:id="27"/>
      <w:bookmarkEnd w:id="28"/>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6"/>
        <w:spacing w:line="360" w:lineRule="auto"/>
        <w:ind w:firstLine="480"/>
        <w:rPr>
          <w:rFonts w:ascii="Times New Roman" w:hAnsi="Times New Roman"/>
        </w:rPr>
      </w:pPr>
      <w:r>
        <w:rPr>
          <w:rFonts w:ascii="Times New Roman" w:hAnsi="Times New Roman"/>
        </w:rPr>
        <w:t>本合同签订时间：                         本合同签订时间：</w:t>
      </w:r>
    </w:p>
    <w:p>
      <w:pPr>
        <w:pStyle w:val="26"/>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6"/>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6"/>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6"/>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6"/>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6"/>
        <w:spacing w:line="360" w:lineRule="auto"/>
        <w:ind w:firstLine="480"/>
        <w:rPr>
          <w:rFonts w:ascii="Times New Roman" w:hAnsi="Times New Roman"/>
        </w:rPr>
      </w:pPr>
      <w:r>
        <w:rPr>
          <w:rFonts w:ascii="Times New Roman" w:hAnsi="Times New Roman"/>
        </w:rPr>
        <w:t>4、供应商同类项目实施情况一览表（详见附件）</w:t>
      </w:r>
    </w:p>
    <w:p>
      <w:pPr>
        <w:pStyle w:val="26"/>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6"/>
        <w:spacing w:line="360" w:lineRule="auto"/>
        <w:ind w:firstLine="562"/>
        <w:outlineLvl w:val="1"/>
        <w:rPr>
          <w:rFonts w:ascii="Times New Roman" w:hAnsi="Times New Roman"/>
          <w:b/>
          <w:sz w:val="28"/>
          <w:szCs w:val="28"/>
        </w:rPr>
      </w:pPr>
      <w:bookmarkStart w:id="35" w:name="_Toc25697"/>
      <w:bookmarkStart w:id="36" w:name="_Toc21151"/>
      <w:r>
        <w:rPr>
          <w:rFonts w:ascii="Times New Roman" w:hAnsi="Times New Roman"/>
          <w:b/>
          <w:sz w:val="28"/>
          <w:szCs w:val="28"/>
        </w:rPr>
        <w:t>二、资格资质部分</w:t>
      </w:r>
      <w:bookmarkEnd w:id="35"/>
      <w:bookmarkEnd w:id="36"/>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p>
    <w:p>
      <w:pPr>
        <w:pStyle w:val="26"/>
        <w:spacing w:line="360" w:lineRule="auto"/>
        <w:ind w:firstLine="562"/>
        <w:outlineLvl w:val="1"/>
        <w:rPr>
          <w:rFonts w:ascii="Times New Roman" w:hAnsi="Times New Roman"/>
          <w:b/>
          <w:sz w:val="28"/>
          <w:szCs w:val="28"/>
        </w:rPr>
      </w:pPr>
      <w:bookmarkStart w:id="37" w:name="_Toc1049"/>
      <w:bookmarkStart w:id="38" w:name="_Toc10743"/>
      <w:r>
        <w:rPr>
          <w:rFonts w:ascii="Times New Roman" w:hAnsi="Times New Roman"/>
          <w:b/>
          <w:sz w:val="28"/>
          <w:szCs w:val="28"/>
        </w:rPr>
        <w:t>三、技术部分</w:t>
      </w:r>
      <w:bookmarkEnd w:id="37"/>
      <w:bookmarkEnd w:id="38"/>
    </w:p>
    <w:p>
      <w:pPr>
        <w:pStyle w:val="26"/>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6"/>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6"/>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6"/>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6"/>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6"/>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6"/>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6"/>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6"/>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6"/>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6"/>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6"/>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6"/>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6"/>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6"/>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6"/>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6"/>
        <w:spacing w:line="360" w:lineRule="auto"/>
        <w:ind w:firstLine="480"/>
        <w:rPr>
          <w:rFonts w:ascii="Times New Roman" w:hAnsi="Times New Roman"/>
          <w:szCs w:val="24"/>
        </w:rPr>
      </w:pPr>
      <w:r>
        <w:rPr>
          <w:rFonts w:ascii="Times New Roman" w:hAnsi="Times New Roman"/>
          <w:szCs w:val="24"/>
        </w:rPr>
        <w:t>11、项目响应确认函（详见附件）</w:t>
      </w:r>
    </w:p>
    <w:p>
      <w:pPr>
        <w:pStyle w:val="26"/>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6"/>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6"/>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6"/>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32"/>
          <w:szCs w:val="32"/>
        </w:rPr>
      </w:pPr>
      <w:bookmarkStart w:id="45" w:name="_Toc11178"/>
      <w:bookmarkStart w:id="46" w:name="_Toc32238"/>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第四部分  附件</w:t>
      </w:r>
      <w:bookmarkEnd w:id="45"/>
      <w:bookmarkEnd w:id="46"/>
    </w:p>
    <w:p>
      <w:pPr>
        <w:pStyle w:val="26"/>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6"/>
        <w:spacing w:line="360" w:lineRule="auto"/>
        <w:ind w:firstLine="0" w:firstLineChars="0"/>
        <w:rPr>
          <w:rFonts w:ascii="Times New Roman" w:hAnsi="Times New Roman"/>
        </w:rPr>
      </w:pPr>
    </w:p>
    <w:p>
      <w:pPr>
        <w:pStyle w:val="26"/>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ascii="Times New Roman" w:hAnsi="Times New Roman"/>
          <w:u w:val="single"/>
        </w:rPr>
        <w:t xml:space="preserve"> </w:t>
      </w:r>
      <w:r>
        <w:rPr>
          <w:rFonts w:hint="eastAsia" w:ascii="Times New Roman" w:hAnsi="Times New Roman"/>
          <w:u w:val="single"/>
          <w:lang w:val="en-US" w:eastAsia="zh-CN"/>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8"/>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6"/>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7" w:name="_Toc7848"/>
      <w:bookmarkStart w:id="58" w:name="_Toc16966"/>
      <w:r>
        <w:rPr>
          <w:rFonts w:ascii="Times New Roman" w:hAnsi="Times New Roman"/>
          <w:b/>
          <w:sz w:val="28"/>
          <w:szCs w:val="28"/>
        </w:rPr>
        <w:t>附件6、</w:t>
      </w:r>
      <w:r>
        <w:rPr>
          <w:rFonts w:hint="eastAsia" w:ascii="Times New Roman" w:hAnsi="Times New Roman"/>
          <w:b/>
          <w:sz w:val="28"/>
          <w:szCs w:val="28"/>
          <w:lang w:val="en-US" w:eastAsia="zh-CN"/>
        </w:rPr>
        <w:t>2021年或2022</w:t>
      </w:r>
      <w:r>
        <w:rPr>
          <w:rFonts w:ascii="Times New Roman" w:hAnsi="Times New Roman"/>
          <w:b/>
          <w:sz w:val="28"/>
          <w:szCs w:val="28"/>
        </w:rPr>
        <w:t>度财务审计报告</w:t>
      </w:r>
      <w:r>
        <w:rPr>
          <w:rFonts w:hint="eastAsia" w:ascii="Times New Roman" w:hAnsi="Times New Roman"/>
          <w:b/>
          <w:sz w:val="28"/>
          <w:szCs w:val="28"/>
          <w:lang w:eastAsia="zh-CN"/>
        </w:rPr>
        <w:t>或财务报表</w:t>
      </w:r>
      <w:r>
        <w:rPr>
          <w:rFonts w:ascii="Times New Roman" w:hAnsi="Times New Roman"/>
          <w:b/>
          <w:sz w:val="28"/>
          <w:szCs w:val="28"/>
        </w:rPr>
        <w:t>或银行出具的资信证明或专业担保机构出具的投标担保函</w:t>
      </w:r>
      <w:bookmarkEnd w:id="57"/>
      <w:bookmarkEnd w:id="58"/>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★2021年或2022度财务审计报告或财务报表</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6"/>
        <w:ind w:firstLine="199" w:firstLineChars="83"/>
        <w:rPr>
          <w:rFonts w:ascii="Times New Roman" w:hAnsi="Times New Roman"/>
        </w:rPr>
      </w:pPr>
    </w:p>
    <w:p>
      <w:pPr>
        <w:pStyle w:val="26"/>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2022年12月至2023年6月之间任意一个月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1" w:name="_Toc15318104"/>
      <w:bookmarkStart w:id="62" w:name="_Toc18794"/>
      <w:bookmarkStart w:id="63" w:name="_Toc24155"/>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lang w:val="en-US" w:eastAsia="zh-CN"/>
        </w:rPr>
        <w:t>2022年12月至2023年6月之间任意一个月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4" w:name="_Toc6541"/>
      <w:bookmarkStart w:id="65" w:name="_Toc16120"/>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6"/>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6"/>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6"/>
        <w:ind w:firstLine="480"/>
        <w:rPr>
          <w:rFonts w:ascii="Times New Roman" w:hAnsi="Times New Roman"/>
        </w:rPr>
      </w:pPr>
    </w:p>
    <w:p>
      <w:pPr>
        <w:pStyle w:val="26"/>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3" w:name="_Toc31601"/>
      <w:bookmarkStart w:id="74" w:name="_Toc11619"/>
      <w:r>
        <w:rPr>
          <w:rFonts w:ascii="Times New Roman" w:hAnsi="Times New Roman"/>
          <w:b/>
          <w:sz w:val="28"/>
          <w:szCs w:val="28"/>
        </w:rPr>
        <w:t>附件1</w:t>
      </w:r>
      <w:r>
        <w:rPr>
          <w:rFonts w:hint="eastAsia" w:ascii="Times New Roman" w:hAnsi="Times New Roman"/>
          <w:b/>
          <w:sz w:val="28"/>
          <w:szCs w:val="28"/>
          <w:lang w:val="en-US" w:eastAsia="zh-CN"/>
        </w:rPr>
        <w:t>3</w:t>
      </w:r>
      <w:r>
        <w:rPr>
          <w:rFonts w:ascii="Times New Roman" w:hAnsi="Times New Roman"/>
          <w:b/>
          <w:sz w:val="28"/>
          <w:szCs w:val="28"/>
        </w:rPr>
        <w:t>、技术响应表</w:t>
      </w:r>
      <w:bookmarkEnd w:id="73"/>
      <w:bookmarkEnd w:id="7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5" w:name="_Toc15394"/>
      <w:bookmarkStart w:id="76" w:name="_Toc24340"/>
      <w:r>
        <w:rPr>
          <w:rFonts w:ascii="Times New Roman" w:hAnsi="Times New Roman"/>
          <w:b/>
          <w:sz w:val="28"/>
          <w:szCs w:val="28"/>
        </w:rPr>
        <w:t>附件1</w:t>
      </w:r>
      <w:r>
        <w:rPr>
          <w:rFonts w:hint="eastAsia" w:ascii="Times New Roman" w:hAnsi="Times New Roman"/>
          <w:b/>
          <w:sz w:val="28"/>
          <w:szCs w:val="28"/>
          <w:lang w:val="en-US" w:eastAsia="zh-CN"/>
        </w:rPr>
        <w:t>4</w:t>
      </w:r>
      <w:r>
        <w:rPr>
          <w:rFonts w:ascii="Times New Roman" w:hAnsi="Times New Roman"/>
          <w:b/>
          <w:sz w:val="28"/>
          <w:szCs w:val="28"/>
        </w:rPr>
        <w:t>、报价一览表</w:t>
      </w:r>
      <w:bookmarkEnd w:id="75"/>
      <w:bookmarkEnd w:id="7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hint="eastAsia" w:ascii="Times New Roman" w:hAnsi="Times New Roman" w:eastAsia="仿宋"/>
                <w:szCs w:val="24"/>
                <w:lang w:eastAsia="zh-CN"/>
              </w:rPr>
            </w:pPr>
            <w:r>
              <w:rPr>
                <w:rFonts w:ascii="Times New Roman" w:hAnsi="Times New Roman"/>
                <w:szCs w:val="24"/>
              </w:rPr>
              <w:t>供货</w:t>
            </w:r>
            <w:r>
              <w:rPr>
                <w:rFonts w:hint="eastAsia" w:ascii="Times New Roman" w:hAnsi="Times New Roman"/>
                <w:szCs w:val="24"/>
                <w:lang w:eastAsia="zh-CN"/>
              </w:rPr>
              <w:t>安装时间</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7" w:name="_Toc1974"/>
      <w:bookmarkStart w:id="78" w:name="_Toc3940"/>
      <w:r>
        <w:rPr>
          <w:rFonts w:ascii="Times New Roman" w:hAnsi="Times New Roman"/>
          <w:b/>
          <w:sz w:val="28"/>
          <w:szCs w:val="28"/>
        </w:rPr>
        <w:t>附件1</w:t>
      </w:r>
      <w:r>
        <w:rPr>
          <w:rFonts w:hint="eastAsia" w:ascii="Times New Roman" w:hAnsi="Times New Roman"/>
          <w:b/>
          <w:sz w:val="28"/>
          <w:szCs w:val="28"/>
          <w:lang w:val="en-US" w:eastAsia="zh-CN"/>
        </w:rPr>
        <w:t>5</w:t>
      </w:r>
      <w:r>
        <w:rPr>
          <w:rFonts w:ascii="Times New Roman" w:hAnsi="Times New Roman"/>
          <w:b/>
          <w:sz w:val="28"/>
          <w:szCs w:val="28"/>
        </w:rPr>
        <w:t>、报价明细表</w:t>
      </w:r>
      <w:bookmarkEnd w:id="77"/>
      <w:bookmarkEnd w:id="7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3"/>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6"/>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6"/>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6"/>
        <w:spacing w:line="360" w:lineRule="auto"/>
        <w:ind w:firstLine="0" w:firstLineChars="0"/>
        <w:outlineLvl w:val="1"/>
        <w:rPr>
          <w:rFonts w:ascii="Times New Roman" w:hAnsi="Times New Roman"/>
          <w:b/>
          <w:sz w:val="28"/>
          <w:szCs w:val="28"/>
        </w:rPr>
      </w:pPr>
      <w:bookmarkStart w:id="79" w:name="_Toc5007"/>
      <w:bookmarkStart w:id="80" w:name="_Toc10371"/>
      <w:r>
        <w:rPr>
          <w:rFonts w:ascii="Times New Roman" w:hAnsi="Times New Roman"/>
          <w:b/>
          <w:sz w:val="28"/>
          <w:szCs w:val="28"/>
        </w:rPr>
        <w:t>附件</w:t>
      </w:r>
      <w:r>
        <w:rPr>
          <w:rFonts w:hint="eastAsia" w:ascii="Times New Roman" w:hAnsi="Times New Roman"/>
          <w:b/>
          <w:sz w:val="28"/>
          <w:szCs w:val="28"/>
          <w:lang w:val="en-US" w:eastAsia="zh-CN"/>
        </w:rPr>
        <w:t>16</w:t>
      </w:r>
      <w:r>
        <w:rPr>
          <w:rFonts w:ascii="Times New Roman" w:hAnsi="Times New Roman"/>
          <w:b/>
          <w:sz w:val="28"/>
          <w:szCs w:val="28"/>
        </w:rPr>
        <w:t>、强制节能产品明细表</w:t>
      </w:r>
      <w:bookmarkEnd w:id="79"/>
      <w:bookmarkEnd w:id="80"/>
    </w:p>
    <w:p>
      <w:pPr>
        <w:pStyle w:val="26"/>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8"/>
        <w:ind w:left="5250" w:firstLine="560"/>
        <w:rPr>
          <w:rFonts w:ascii="Times New Roman" w:hAnsi="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6"/>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firstLine="0" w:firstLineChars="0"/>
        <w:outlineLvl w:val="1"/>
        <w:rPr>
          <w:rFonts w:ascii="Times New Roman" w:hAnsi="Times New Roman"/>
          <w:b/>
          <w:sz w:val="28"/>
          <w:szCs w:val="28"/>
        </w:rPr>
      </w:pPr>
      <w:bookmarkStart w:id="81" w:name="_Toc15755"/>
      <w:bookmarkStart w:id="82" w:name="_Toc24328"/>
      <w:r>
        <w:rPr>
          <w:rFonts w:ascii="Times New Roman" w:hAnsi="Times New Roman"/>
          <w:b/>
          <w:sz w:val="28"/>
          <w:szCs w:val="28"/>
        </w:rPr>
        <w:t>附件</w:t>
      </w:r>
      <w:r>
        <w:rPr>
          <w:rFonts w:hint="eastAsia" w:ascii="Times New Roman" w:hAnsi="Times New Roman"/>
          <w:b/>
          <w:sz w:val="28"/>
          <w:szCs w:val="28"/>
          <w:lang w:val="en-US" w:eastAsia="zh-CN"/>
        </w:rPr>
        <w:t>17</w:t>
      </w:r>
      <w:r>
        <w:rPr>
          <w:rFonts w:ascii="Times New Roman" w:hAnsi="Times New Roman"/>
          <w:b/>
          <w:sz w:val="28"/>
          <w:szCs w:val="28"/>
        </w:rPr>
        <w:t>、优先节能产品明细表</w:t>
      </w:r>
      <w:bookmarkEnd w:id="81"/>
      <w:bookmarkEnd w:id="8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17</w:t>
      </w:r>
      <w:r>
        <w:rPr>
          <w:rFonts w:ascii="Times New Roman" w:hAnsi="Times New Roman"/>
          <w:b/>
        </w:rPr>
        <w:t xml:space="preserve">、优先节能产品明细表（以包为单位分别填写） </w:t>
      </w:r>
    </w:p>
    <w:p>
      <w:pPr>
        <w:pStyle w:val="9"/>
        <w:snapToGrid w:val="0"/>
        <w:spacing w:before="0" w:after="0" w:line="500" w:lineRule="exact"/>
        <w:ind w:firstLine="480"/>
        <w:rPr>
          <w:rFonts w:ascii="Times New Roman" w:hAnsi="Times New Roman" w:eastAsia="仿宋" w:cs="Times New Roman"/>
          <w:sz w:val="24"/>
          <w:szCs w:val="24"/>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3" w:name="_Toc27048"/>
      <w:bookmarkStart w:id="84" w:name="_Toc24559"/>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、环境标志产品明细表</w:t>
      </w:r>
      <w:bookmarkEnd w:id="83"/>
      <w:bookmarkEnd w:id="8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、环境标志产品明细表（以包为单位分别填写） </w:t>
      </w:r>
    </w:p>
    <w:p>
      <w:pPr>
        <w:pStyle w:val="8"/>
        <w:spacing w:line="500" w:lineRule="exact"/>
        <w:ind w:left="5250" w:firstLine="560"/>
        <w:rPr>
          <w:rFonts w:ascii="Times New Roman" w:hAnsi="Times New Roman"/>
          <w:sz w:val="28"/>
          <w:szCs w:val="28"/>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left="0" w:leftChars="0" w:firstLine="0" w:firstLineChars="0"/>
        <w:rPr>
          <w:rFonts w:ascii="Times New Roman" w:hAnsi="Times New Roman"/>
        </w:rPr>
      </w:pPr>
    </w:p>
    <w:p>
      <w:pPr>
        <w:pStyle w:val="26"/>
        <w:spacing w:line="360" w:lineRule="auto"/>
        <w:ind w:left="480" w:firstLine="0" w:firstLineChars="0"/>
        <w:outlineLvl w:val="1"/>
        <w:rPr>
          <w:rFonts w:ascii="Times New Roman" w:hAnsi="Times New Roman"/>
          <w:b/>
          <w:sz w:val="28"/>
          <w:szCs w:val="28"/>
        </w:rPr>
      </w:pPr>
      <w:bookmarkStart w:id="85" w:name="_Toc27620"/>
      <w:bookmarkStart w:id="86" w:name="_Toc28911"/>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5"/>
      <w:bookmarkEnd w:id="86"/>
    </w:p>
    <w:p>
      <w:pPr>
        <w:pStyle w:val="26"/>
        <w:spacing w:line="360" w:lineRule="auto"/>
        <w:ind w:left="480"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8"/>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hint="eastAsia" w:ascii="Times New Roman" w:hAnsi="Times New Roman"/>
          <w:b/>
          <w:lang w:val="en-US" w:eastAsia="zh-CN"/>
        </w:rPr>
        <w:t>19</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6"/>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7" w:name="_Toc2497"/>
      <w:bookmarkStart w:id="88" w:name="_Toc14566"/>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、供应商银行开户情况</w:t>
      </w:r>
      <w:bookmarkEnd w:id="87"/>
      <w:bookmarkEnd w:id="8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0</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9" w:name="_Toc1801"/>
      <w:bookmarkStart w:id="90" w:name="_Toc246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w:t>
      </w:r>
      <w:r>
        <w:rPr>
          <w:rFonts w:hint="eastAsia" w:ascii="Times New Roman" w:hAnsi="Times New Roman"/>
          <w:b/>
          <w:sz w:val="28"/>
          <w:szCs w:val="28"/>
        </w:rPr>
        <w:t>廉洁投标承诺书</w:t>
      </w:r>
      <w:bookmarkEnd w:id="89"/>
      <w:bookmarkEnd w:id="90"/>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21</w:t>
      </w:r>
      <w:r>
        <w:rPr>
          <w:rFonts w:hint="eastAsia" w:ascii="Times New Roman" w:hAnsi="Times New Roman" w:eastAsia="宋体"/>
          <w:b/>
          <w:bCs/>
          <w:szCs w:val="28"/>
        </w:rPr>
        <w:t>、★廉洁投标承诺书</w:t>
      </w:r>
    </w:p>
    <w:p>
      <w:pPr>
        <w:pStyle w:val="26"/>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6"/>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6"/>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6"/>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6"/>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6"/>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6"/>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6"/>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6"/>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6"/>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6"/>
        <w:ind w:firstLine="199" w:firstLineChars="83"/>
        <w:rPr>
          <w:rFonts w:ascii="Times New Roman" w:hAnsi="Times New Roman"/>
        </w:rPr>
      </w:pPr>
      <w:r>
        <w:rPr>
          <w:rFonts w:ascii="Times New Roman" w:hAnsi="Times New Roman"/>
        </w:rPr>
        <w:t xml:space="preserve">                     </w:t>
      </w:r>
    </w:p>
    <w:p>
      <w:pPr>
        <w:pStyle w:val="26"/>
        <w:ind w:firstLine="199" w:firstLineChars="83"/>
        <w:rPr>
          <w:rFonts w:ascii="Times New Roman" w:hAnsi="Times New Roman"/>
        </w:rPr>
      </w:pPr>
    </w:p>
    <w:p>
      <w:pPr>
        <w:pStyle w:val="26"/>
        <w:ind w:right="1680" w:firstLine="199" w:firstLineChars="83"/>
        <w:jc w:val="right"/>
        <w:rPr>
          <w:rFonts w:ascii="Times New Roman" w:hAnsi="Times New Roman"/>
        </w:rPr>
      </w:pPr>
      <w:r>
        <w:rPr>
          <w:rFonts w:hint="eastAsia" w:ascii="Times New Roman" w:hAnsi="Times New Roman"/>
        </w:rPr>
        <w:t>投标单位：（公章）</w:t>
      </w:r>
    </w:p>
    <w:p>
      <w:pPr>
        <w:pStyle w:val="26"/>
        <w:ind w:firstLine="199" w:firstLineChars="83"/>
        <w:jc w:val="right"/>
        <w:rPr>
          <w:rFonts w:ascii="Times New Roman" w:hAnsi="Times New Roman"/>
        </w:rPr>
      </w:pPr>
      <w:r>
        <w:rPr>
          <w:rFonts w:hint="eastAsia" w:ascii="Times New Roman" w:hAnsi="Times New Roman"/>
        </w:rPr>
        <w:t>法定代表人或授权代理人：（签字）</w:t>
      </w:r>
    </w:p>
    <w:p>
      <w:pPr>
        <w:pStyle w:val="26"/>
        <w:spacing w:line="360" w:lineRule="auto"/>
        <w:ind w:right="960" w:firstLine="5959" w:firstLineChars="2483"/>
        <w:rPr>
          <w:rFonts w:ascii="Times New Roman" w:hAnsi="Times New Roman"/>
        </w:rPr>
      </w:pPr>
      <w:r>
        <w:rPr>
          <w:rFonts w:hint="eastAsia" w:ascii="Times New Roman" w:hAnsi="Times New Roman"/>
        </w:rPr>
        <w:t>年  月  日</w:t>
      </w: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1" w:name="_Toc24869"/>
      <w:bookmarkStart w:id="92" w:name="_Toc30315"/>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承诺书</w:t>
      </w:r>
      <w:bookmarkEnd w:id="91"/>
      <w:bookmarkEnd w:id="92"/>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2</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3" w:name="_Toc30536"/>
      <w:bookmarkStart w:id="94" w:name="_Toc20551"/>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、项目响应确认函</w:t>
      </w:r>
      <w:bookmarkEnd w:id="93"/>
      <w:bookmarkEnd w:id="94"/>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3</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5" w:name="_Toc26991"/>
      <w:bookmarkStart w:id="96" w:name="_Toc14741"/>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、响应文件包装袋密封件正面和封口格式</w:t>
      </w:r>
      <w:bookmarkEnd w:id="95"/>
      <w:bookmarkEnd w:id="9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24</w:t>
      </w:r>
      <w:r>
        <w:rPr>
          <w:rFonts w:ascii="Times New Roman" w:hAnsi="Times New Roman"/>
          <w:b/>
        </w:rPr>
        <w:t>、响应文件包装袋密封件正面和封口格式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6"/>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7" w:name="_Toc20017"/>
      <w:bookmarkStart w:id="98" w:name="_Toc31490"/>
      <w:r>
        <w:rPr>
          <w:rFonts w:ascii="Times New Roman" w:hAnsi="Times New Roman"/>
          <w:b/>
          <w:sz w:val="28"/>
          <w:szCs w:val="28"/>
        </w:rPr>
        <w:t>附件</w:t>
      </w:r>
      <w:r>
        <w:rPr>
          <w:rFonts w:hint="eastAsia" w:ascii="Times New Roman" w:hAnsi="Times New Roman"/>
          <w:b/>
          <w:sz w:val="28"/>
          <w:szCs w:val="28"/>
          <w:lang w:val="en-US" w:eastAsia="zh-CN"/>
        </w:rPr>
        <w:t>25</w:t>
      </w:r>
      <w:r>
        <w:rPr>
          <w:rFonts w:ascii="Times New Roman" w:hAnsi="Times New Roman"/>
          <w:b/>
          <w:sz w:val="28"/>
          <w:szCs w:val="28"/>
        </w:rPr>
        <w:t>、响应文件正副本封皮格式</w:t>
      </w:r>
      <w:bookmarkEnd w:id="97"/>
      <w:bookmarkEnd w:id="98"/>
      <w:bookmarkStart w:id="99" w:name="_GoBack"/>
      <w:bookmarkEnd w:id="99"/>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25</w:t>
      </w:r>
      <w:r>
        <w:rPr>
          <w:rFonts w:ascii="Times New Roman" w:hAnsi="Times New Roman"/>
          <w:b/>
        </w:rPr>
        <w:t>、响应文件正副本封皮格式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6"/>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2"/>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188C2B35"/>
    <w:rsid w:val="318D14CB"/>
    <w:rsid w:val="331820D3"/>
    <w:rsid w:val="4233208B"/>
    <w:rsid w:val="4D056B9E"/>
    <w:rsid w:val="57CE7C47"/>
    <w:rsid w:val="5FB5260F"/>
    <w:rsid w:val="613465E9"/>
    <w:rsid w:val="68671018"/>
    <w:rsid w:val="6B603CA3"/>
    <w:rsid w:val="6C78696F"/>
    <w:rsid w:val="6E9E670C"/>
    <w:rsid w:val="70425E72"/>
    <w:rsid w:val="74454656"/>
    <w:rsid w:val="75F94B10"/>
    <w:rsid w:val="776805C7"/>
    <w:rsid w:val="77A6241C"/>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3"/>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Body Text 3"/>
    <w:basedOn w:val="1"/>
    <w:link w:val="30"/>
    <w:semiHidden/>
    <w:unhideWhenUsed/>
    <w:qFormat/>
    <w:uiPriority w:val="99"/>
    <w:pPr>
      <w:spacing w:after="120"/>
    </w:pPr>
    <w:rPr>
      <w:sz w:val="16"/>
      <w:szCs w:val="16"/>
    </w:rPr>
  </w:style>
  <w:style w:type="paragraph" w:styleId="11">
    <w:name w:val="Plain Text"/>
    <w:basedOn w:val="1"/>
    <w:link w:val="31"/>
    <w:qFormat/>
    <w:uiPriority w:val="0"/>
    <w:rPr>
      <w:rFonts w:ascii="宋体" w:hAnsi="Courier New" w:eastAsia="宋体"/>
      <w:sz w:val="21"/>
    </w:rPr>
  </w:style>
  <w:style w:type="paragraph" w:styleId="12">
    <w:name w:val="footer"/>
    <w:basedOn w:val="1"/>
    <w:link w:val="22"/>
    <w:unhideWhenUsed/>
    <w:qFormat/>
    <w:uiPriority w:val="99"/>
    <w:pPr>
      <w:tabs>
        <w:tab w:val="center" w:pos="4153"/>
        <w:tab w:val="right" w:pos="8306"/>
      </w:tabs>
      <w:snapToGrid w:val="0"/>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Times New Roman" w:hAnsi="Times New Roman"/>
    </w:rPr>
  </w:style>
  <w:style w:type="paragraph" w:styleId="15">
    <w:name w:val="toc 2"/>
    <w:basedOn w:val="1"/>
    <w:next w:val="1"/>
    <w:unhideWhenUsed/>
    <w:qFormat/>
    <w:uiPriority w:val="39"/>
    <w:pPr>
      <w:ind w:left="200" w:leftChars="200"/>
    </w:pPr>
    <w:rPr>
      <w:rFonts w:ascii="Times New Roman" w:hAnsi="Times New Roman"/>
    </w:rPr>
  </w:style>
  <w:style w:type="paragraph" w:styleId="16">
    <w:name w:val="Normal (Web)"/>
    <w:basedOn w:val="1"/>
    <w:qFormat/>
    <w:uiPriority w:val="0"/>
    <w:pPr>
      <w:widowControl/>
      <w:spacing w:before="100" w:beforeAutospacing="1" w:after="100" w:afterAutospacing="1"/>
    </w:pPr>
    <w:rPr>
      <w:rFonts w:ascii="宋体" w:hAnsi="宋体" w:cs="宋体"/>
      <w:kern w:val="0"/>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页眉 字符"/>
    <w:basedOn w:val="19"/>
    <w:link w:val="13"/>
    <w:qFormat/>
    <w:uiPriority w:val="99"/>
    <w:rPr>
      <w:sz w:val="18"/>
      <w:szCs w:val="18"/>
    </w:rPr>
  </w:style>
  <w:style w:type="character" w:customStyle="1" w:styleId="22">
    <w:name w:val="页脚 字符"/>
    <w:basedOn w:val="19"/>
    <w:link w:val="12"/>
    <w:qFormat/>
    <w:uiPriority w:val="99"/>
    <w:rPr>
      <w:sz w:val="18"/>
      <w:szCs w:val="18"/>
    </w:rPr>
  </w:style>
  <w:style w:type="character" w:customStyle="1" w:styleId="23">
    <w:name w:val="正文文本缩进 字符"/>
    <w:link w:val="3"/>
    <w:qFormat/>
    <w:uiPriority w:val="99"/>
    <w:rPr>
      <w:rFonts w:ascii="Times New Roman" w:hAnsi="Times New Roman"/>
    </w:rPr>
  </w:style>
  <w:style w:type="character" w:customStyle="1" w:styleId="24">
    <w:name w:val="正文文本缩进 Char1"/>
    <w:basedOn w:val="19"/>
    <w:semiHidden/>
    <w:qFormat/>
    <w:uiPriority w:val="99"/>
    <w:rPr>
      <w:rFonts w:ascii="Calibri" w:hAnsi="Calibri" w:eastAsia="仿宋" w:cs="Times New Roman"/>
      <w:sz w:val="24"/>
      <w:szCs w:val="20"/>
    </w:rPr>
  </w:style>
  <w:style w:type="character" w:customStyle="1" w:styleId="25">
    <w:name w:val="标题 4 字符"/>
    <w:basedOn w:val="19"/>
    <w:link w:val="7"/>
    <w:semiHidden/>
    <w:qFormat/>
    <w:uiPriority w:val="9"/>
    <w:rPr>
      <w:rFonts w:asciiTheme="majorHAnsi" w:hAnsiTheme="majorHAnsi" w:eastAsiaTheme="majorEastAsia" w:cstheme="majorBidi"/>
      <w:b/>
      <w:bCs/>
      <w:sz w:val="28"/>
      <w:szCs w:val="28"/>
    </w:rPr>
  </w:style>
  <w:style w:type="paragraph" w:styleId="26">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7">
    <w:name w:val="标题 2 字符"/>
    <w:basedOn w:val="19"/>
    <w:link w:val="6"/>
    <w:qFormat/>
    <w:uiPriority w:val="0"/>
    <w:rPr>
      <w:rFonts w:asciiTheme="majorHAnsi" w:hAnsiTheme="majorHAnsi" w:eastAsiaTheme="majorEastAsia" w:cstheme="majorBidi"/>
      <w:b/>
      <w:bCs/>
      <w:sz w:val="32"/>
      <w:szCs w:val="32"/>
    </w:rPr>
  </w:style>
  <w:style w:type="paragraph" w:customStyle="1" w:styleId="28">
    <w:name w:val="默认段落字体 Para Char Char Char Char Char Char Char Char Char1 Char Char Char Char"/>
    <w:basedOn w:val="1"/>
    <w:qFormat/>
    <w:uiPriority w:val="0"/>
    <w:rPr>
      <w:rFonts w:ascii="Tahoma" w:hAnsi="Tahoma"/>
    </w:rPr>
  </w:style>
  <w:style w:type="character" w:customStyle="1" w:styleId="29">
    <w:name w:val="标题 1 字符"/>
    <w:basedOn w:val="19"/>
    <w:link w:val="5"/>
    <w:qFormat/>
    <w:uiPriority w:val="9"/>
    <w:rPr>
      <w:rFonts w:ascii="Calibri" w:hAnsi="Calibri" w:eastAsia="仿宋" w:cs="Times New Roman"/>
      <w:b/>
      <w:bCs/>
      <w:kern w:val="44"/>
      <w:sz w:val="44"/>
      <w:szCs w:val="44"/>
    </w:rPr>
  </w:style>
  <w:style w:type="character" w:customStyle="1" w:styleId="30">
    <w:name w:val="正文文本 3 字符"/>
    <w:basedOn w:val="19"/>
    <w:link w:val="10"/>
    <w:semiHidden/>
    <w:qFormat/>
    <w:uiPriority w:val="99"/>
    <w:rPr>
      <w:rFonts w:ascii="Calibri" w:hAnsi="Calibri" w:eastAsia="仿宋" w:cs="Times New Roman"/>
      <w:sz w:val="16"/>
      <w:szCs w:val="16"/>
    </w:rPr>
  </w:style>
  <w:style w:type="character" w:customStyle="1" w:styleId="31">
    <w:name w:val="纯文本 字符"/>
    <w:link w:val="11"/>
    <w:qFormat/>
    <w:locked/>
    <w:uiPriority w:val="0"/>
    <w:rPr>
      <w:rFonts w:ascii="宋体" w:hAnsi="Courier New" w:eastAsia="宋体" w:cs="Times New Roman"/>
      <w:szCs w:val="20"/>
    </w:rPr>
  </w:style>
  <w:style w:type="character" w:customStyle="1" w:styleId="32">
    <w:name w:val="纯文本 Char"/>
    <w:basedOn w:val="19"/>
    <w:semiHidden/>
    <w:qFormat/>
    <w:uiPriority w:val="99"/>
    <w:rPr>
      <w:rFonts w:ascii="宋体" w:hAnsi="Courier New" w:eastAsia="宋体" w:cs="Courier New"/>
      <w:szCs w:val="21"/>
    </w:rPr>
  </w:style>
  <w:style w:type="paragraph" w:customStyle="1" w:styleId="33">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4">
    <w:name w:val="正文首行缩进 2 Char"/>
    <w:semiHidden/>
    <w:qFormat/>
    <w:uiPriority w:val="99"/>
    <w:rPr>
      <w:rFonts w:ascii="Times New Roman" w:hAnsi="Times New Roman" w:eastAsia="仿宋"/>
      <w:kern w:val="2"/>
      <w:sz w:val="24"/>
    </w:rPr>
  </w:style>
  <w:style w:type="paragraph" w:customStyle="1" w:styleId="3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23040</Words>
  <Characters>24300</Characters>
  <Lines>241</Lines>
  <Paragraphs>68</Paragraphs>
  <TotalTime>2</TotalTime>
  <ScaleCrop>false</ScaleCrop>
  <LinksUpToDate>false</LinksUpToDate>
  <CharactersWithSpaces>26944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2023-06-06T06:15:45Z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